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15705">
      <w:pPr>
        <w:spacing w:before="145" w:line="602" w:lineRule="exact"/>
        <w:ind w:firstLine="2614" w:firstLineChars="600"/>
        <w:jc w:val="both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国际传播参评作品推荐表</w:t>
      </w:r>
    </w:p>
    <w:p w14:paraId="1F2530F3">
      <w:pPr>
        <w:spacing w:line="70" w:lineRule="exact"/>
      </w:pPr>
    </w:p>
    <w:tbl>
      <w:tblPr>
        <w:tblStyle w:val="5"/>
        <w:tblW w:w="972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"/>
        <w:gridCol w:w="624"/>
        <w:gridCol w:w="1360"/>
        <w:gridCol w:w="349"/>
        <w:gridCol w:w="505"/>
        <w:gridCol w:w="918"/>
        <w:gridCol w:w="197"/>
        <w:gridCol w:w="150"/>
        <w:gridCol w:w="226"/>
        <w:gridCol w:w="1203"/>
        <w:gridCol w:w="696"/>
        <w:gridCol w:w="290"/>
        <w:gridCol w:w="635"/>
        <w:gridCol w:w="234"/>
        <w:gridCol w:w="1431"/>
      </w:tblGrid>
      <w:tr w14:paraId="4F785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34" w:type="dxa"/>
            <w:gridSpan w:val="2"/>
            <w:vAlign w:val="center"/>
          </w:tcPr>
          <w:p w14:paraId="150291E4">
            <w:pPr>
              <w:spacing w:before="221" w:line="191" w:lineRule="auto"/>
              <w:ind w:left="212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作品标题</w:t>
            </w:r>
          </w:p>
        </w:tc>
        <w:tc>
          <w:tcPr>
            <w:tcW w:w="3479" w:type="dxa"/>
            <w:gridSpan w:val="6"/>
            <w:vAlign w:val="center"/>
          </w:tcPr>
          <w:p w14:paraId="4B1EEC31">
            <w:pPr>
              <w:pStyle w:val="6"/>
              <w:spacing w:before="117" w:line="225" w:lineRule="auto"/>
              <w:ind w:left="124" w:right="108" w:hanging="7"/>
              <w:jc w:val="center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“东方第一大港”：    对话历史与未来</w:t>
            </w:r>
          </w:p>
        </w:tc>
        <w:tc>
          <w:tcPr>
            <w:tcW w:w="1429" w:type="dxa"/>
            <w:gridSpan w:val="2"/>
            <w:vAlign w:val="center"/>
          </w:tcPr>
          <w:p w14:paraId="58CA360E">
            <w:pPr>
              <w:spacing w:before="215" w:line="192" w:lineRule="auto"/>
              <w:ind w:left="295"/>
              <w:jc w:val="both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体</w:t>
            </w:r>
            <w:r>
              <w:rPr>
                <w:rFonts w:ascii="华文中宋" w:hAnsi="华文中宋" w:eastAsia="华文中宋" w:cs="华文中宋"/>
                <w:spacing w:val="7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裁</w:t>
            </w:r>
          </w:p>
        </w:tc>
        <w:tc>
          <w:tcPr>
            <w:tcW w:w="3286" w:type="dxa"/>
            <w:gridSpan w:val="5"/>
            <w:vAlign w:val="center"/>
          </w:tcPr>
          <w:p w14:paraId="6713D2E9">
            <w:pPr>
              <w:pStyle w:val="6"/>
              <w:spacing w:before="117" w:line="225" w:lineRule="auto"/>
              <w:ind w:left="124" w:right="108" w:hanging="7"/>
              <w:jc w:val="center"/>
              <w:rPr>
                <w:rFonts w:ascii="Arial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电视访谈</w:t>
            </w:r>
          </w:p>
        </w:tc>
      </w:tr>
      <w:tr w14:paraId="44C89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34" w:type="dxa"/>
            <w:gridSpan w:val="2"/>
            <w:vAlign w:val="center"/>
          </w:tcPr>
          <w:p w14:paraId="0AD716C2">
            <w:pPr>
              <w:spacing w:before="194" w:line="215" w:lineRule="auto"/>
              <w:ind w:right="184" w:firstLine="264" w:firstLineChars="100"/>
              <w:jc w:val="both"/>
              <w:rPr>
                <w:rFonts w:ascii="华文中宋" w:hAnsi="华文中宋" w:eastAsia="华文中宋" w:cs="华文中宋"/>
                <w:spacing w:val="-8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8"/>
                <w:sz w:val="28"/>
                <w:szCs w:val="28"/>
              </w:rPr>
              <w:t>作</w:t>
            </w:r>
            <w:r>
              <w:rPr>
                <w:rFonts w:ascii="华文中宋" w:hAnsi="华文中宋" w:eastAsia="华文中宋" w:cs="华文中宋"/>
                <w:spacing w:val="18"/>
                <w:sz w:val="28"/>
                <w:szCs w:val="28"/>
              </w:rPr>
              <w:t xml:space="preserve">  </w:t>
            </w:r>
            <w:r>
              <w:rPr>
                <w:rFonts w:ascii="华文中宋" w:hAnsi="华文中宋" w:eastAsia="华文中宋" w:cs="华文中宋"/>
                <w:spacing w:val="-8"/>
                <w:sz w:val="28"/>
                <w:szCs w:val="28"/>
              </w:rPr>
              <w:t>者</w:t>
            </w:r>
          </w:p>
          <w:p w14:paraId="40956FAC">
            <w:pPr>
              <w:spacing w:before="194" w:line="215" w:lineRule="auto"/>
              <w:ind w:right="184" w:firstLine="163" w:firstLineChars="100"/>
              <w:jc w:val="both"/>
              <w:rPr>
                <w:rFonts w:ascii="华文中宋" w:hAnsi="华文中宋" w:eastAsia="华文中宋" w:cs="华文中宋"/>
                <w:sz w:val="22"/>
                <w:szCs w:val="22"/>
              </w:rPr>
            </w:pPr>
            <w:r>
              <w:rPr>
                <w:rFonts w:ascii="华文中宋" w:hAnsi="华文中宋" w:eastAsia="华文中宋" w:cs="华文中宋"/>
                <w:spacing w:val="-24"/>
                <w:w w:val="96"/>
                <w:sz w:val="22"/>
                <w:szCs w:val="22"/>
              </w:rPr>
              <w:t>（主创人员）</w:t>
            </w:r>
          </w:p>
        </w:tc>
        <w:tc>
          <w:tcPr>
            <w:tcW w:w="3479" w:type="dxa"/>
            <w:gridSpan w:val="6"/>
            <w:vAlign w:val="center"/>
          </w:tcPr>
          <w:p w14:paraId="2D31DEAF">
            <w:pPr>
              <w:pStyle w:val="6"/>
              <w:spacing w:before="117" w:line="225" w:lineRule="auto"/>
              <w:ind w:left="124" w:right="108" w:hanging="7"/>
              <w:jc w:val="both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 xml:space="preserve">王晓云、李佳、任芃、李琳音、陈东锋、尤月萍、李安妮、黄燕 </w:t>
            </w:r>
          </w:p>
        </w:tc>
        <w:tc>
          <w:tcPr>
            <w:tcW w:w="1429" w:type="dxa"/>
            <w:gridSpan w:val="2"/>
            <w:vAlign w:val="center"/>
          </w:tcPr>
          <w:p w14:paraId="042A5A04">
            <w:pPr>
              <w:spacing w:before="103" w:line="191" w:lineRule="auto"/>
              <w:ind w:firstLine="266" w:firstLineChars="100"/>
              <w:jc w:val="both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7"/>
                <w:sz w:val="28"/>
                <w:szCs w:val="28"/>
              </w:rPr>
              <w:t>编</w:t>
            </w:r>
            <w:r>
              <w:rPr>
                <w:rFonts w:ascii="华文中宋" w:hAnsi="华文中宋" w:eastAsia="华文中宋" w:cs="华文中宋"/>
                <w:spacing w:val="6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 w:cs="华文中宋"/>
                <w:spacing w:val="-7"/>
                <w:sz w:val="28"/>
                <w:szCs w:val="28"/>
              </w:rPr>
              <w:t>辑</w:t>
            </w:r>
          </w:p>
        </w:tc>
        <w:tc>
          <w:tcPr>
            <w:tcW w:w="3286" w:type="dxa"/>
            <w:gridSpan w:val="5"/>
            <w:vAlign w:val="center"/>
          </w:tcPr>
          <w:p w14:paraId="380D287C">
            <w:pPr>
              <w:pStyle w:val="6"/>
              <w:spacing w:before="13" w:line="217" w:lineRule="auto"/>
              <w:ind w:left="114" w:right="64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周斌、龚志伟、李夏日</w:t>
            </w:r>
          </w:p>
        </w:tc>
      </w:tr>
      <w:tr w14:paraId="78C66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1534" w:type="dxa"/>
            <w:gridSpan w:val="2"/>
            <w:vAlign w:val="center"/>
          </w:tcPr>
          <w:p w14:paraId="2E928C5B">
            <w:pPr>
              <w:spacing w:before="237" w:line="192" w:lineRule="auto"/>
              <w:ind w:firstLine="278" w:firstLineChars="100"/>
              <w:jc w:val="both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"/>
                <w:sz w:val="28"/>
                <w:szCs w:val="28"/>
              </w:rPr>
              <w:t>原创单位</w:t>
            </w:r>
          </w:p>
        </w:tc>
        <w:tc>
          <w:tcPr>
            <w:tcW w:w="3479" w:type="dxa"/>
            <w:gridSpan w:val="6"/>
            <w:vAlign w:val="center"/>
          </w:tcPr>
          <w:p w14:paraId="59191FAC">
            <w:pPr>
              <w:pStyle w:val="6"/>
              <w:spacing w:before="117" w:line="225" w:lineRule="auto"/>
              <w:ind w:left="124" w:right="108" w:hanging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泉州广播电视台</w:t>
            </w:r>
          </w:p>
        </w:tc>
        <w:tc>
          <w:tcPr>
            <w:tcW w:w="1429" w:type="dxa"/>
            <w:gridSpan w:val="2"/>
            <w:vAlign w:val="center"/>
          </w:tcPr>
          <w:p w14:paraId="1C300BA7">
            <w:pPr>
              <w:pStyle w:val="6"/>
              <w:spacing w:before="117" w:line="225" w:lineRule="auto"/>
              <w:ind w:left="124" w:right="108" w:hanging="7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发布端/账号/媒体名称</w:t>
            </w:r>
          </w:p>
        </w:tc>
        <w:tc>
          <w:tcPr>
            <w:tcW w:w="3286" w:type="dxa"/>
            <w:gridSpan w:val="5"/>
            <w:vAlign w:val="center"/>
          </w:tcPr>
          <w:p w14:paraId="0125D3B2">
            <w:pPr>
              <w:pStyle w:val="6"/>
              <w:spacing w:before="117" w:line="225" w:lineRule="auto"/>
              <w:ind w:right="108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泉州广播电视台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、菲律宾菲中电视台、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泰国Nation TV</w:t>
            </w:r>
          </w:p>
        </w:tc>
      </w:tr>
      <w:tr w14:paraId="7DB70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534" w:type="dxa"/>
            <w:gridSpan w:val="2"/>
            <w:vAlign w:val="center"/>
          </w:tcPr>
          <w:p w14:paraId="0B8042B9">
            <w:pPr>
              <w:spacing w:before="89" w:line="370" w:lineRule="exact"/>
              <w:ind w:firstLine="236" w:firstLineChars="100"/>
              <w:jc w:val="both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2"/>
                <w:position w:val="4"/>
                <w:sz w:val="24"/>
                <w:szCs w:val="24"/>
              </w:rPr>
              <w:t>字数/时长</w:t>
            </w:r>
          </w:p>
        </w:tc>
        <w:tc>
          <w:tcPr>
            <w:tcW w:w="4908" w:type="dxa"/>
            <w:gridSpan w:val="8"/>
            <w:vAlign w:val="center"/>
          </w:tcPr>
          <w:p w14:paraId="6054174E">
            <w:pPr>
              <w:pStyle w:val="6"/>
              <w:spacing w:before="14" w:line="217" w:lineRule="auto"/>
              <w:ind w:left="117" w:right="28"/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34分45秒</w:t>
            </w:r>
          </w:p>
        </w:tc>
        <w:tc>
          <w:tcPr>
            <w:tcW w:w="986" w:type="dxa"/>
            <w:gridSpan w:val="2"/>
            <w:vAlign w:val="center"/>
          </w:tcPr>
          <w:p w14:paraId="2FC4BB46">
            <w:pPr>
              <w:spacing w:before="89" w:line="370" w:lineRule="exact"/>
              <w:ind w:firstLine="276" w:firstLineChars="100"/>
              <w:jc w:val="both"/>
              <w:rPr>
                <w:rFonts w:ascii="华文中宋" w:hAnsi="华文中宋" w:eastAsia="华文中宋" w:cs="华文中宋"/>
                <w:spacing w:val="-2"/>
                <w:position w:val="4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2"/>
                <w:position w:val="4"/>
                <w:sz w:val="28"/>
                <w:szCs w:val="28"/>
              </w:rPr>
              <w:t>语种</w:t>
            </w:r>
          </w:p>
        </w:tc>
        <w:tc>
          <w:tcPr>
            <w:tcW w:w="2300" w:type="dxa"/>
            <w:gridSpan w:val="3"/>
            <w:vAlign w:val="center"/>
          </w:tcPr>
          <w:p w14:paraId="0CDE2FD8">
            <w:pPr>
              <w:spacing w:before="89" w:line="370" w:lineRule="exact"/>
              <w:ind w:firstLine="840" w:firstLineChars="300"/>
              <w:jc w:val="both"/>
              <w:rPr>
                <w:rFonts w:hint="eastAsia" w:ascii="华文中宋" w:hAnsi="华文中宋" w:eastAsia="华文中宋" w:cs="华文中宋"/>
                <w:spacing w:val="-2"/>
                <w:position w:val="4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英文</w:t>
            </w:r>
          </w:p>
        </w:tc>
      </w:tr>
      <w:tr w14:paraId="6E5BB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0" w:hRule="atLeast"/>
          <w:jc w:val="center"/>
        </w:trPr>
        <w:tc>
          <w:tcPr>
            <w:tcW w:w="1534" w:type="dxa"/>
            <w:gridSpan w:val="2"/>
            <w:vAlign w:val="center"/>
          </w:tcPr>
          <w:p w14:paraId="23E40F63">
            <w:pPr>
              <w:spacing w:line="288" w:lineRule="auto"/>
              <w:jc w:val="center"/>
              <w:rPr>
                <w:rFonts w:ascii="Arial"/>
                <w:sz w:val="21"/>
              </w:rPr>
            </w:pPr>
          </w:p>
          <w:p w14:paraId="29321637">
            <w:pPr>
              <w:spacing w:line="288" w:lineRule="auto"/>
              <w:jc w:val="center"/>
              <w:rPr>
                <w:rFonts w:ascii="Arial"/>
                <w:sz w:val="21"/>
              </w:rPr>
            </w:pPr>
          </w:p>
          <w:p w14:paraId="2E56956E">
            <w:pPr>
              <w:spacing w:before="103" w:line="199" w:lineRule="auto"/>
              <w:ind w:left="184" w:right="145" w:firstLine="30"/>
              <w:jc w:val="center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刊播版面</w:t>
            </w:r>
            <w:r>
              <w:rPr>
                <w:rFonts w:ascii="华文中宋" w:hAnsi="华文中宋" w:eastAsia="华文中宋" w:cs="华文中宋"/>
                <w:spacing w:val="-14"/>
                <w:w w:val="95"/>
                <w:sz w:val="28"/>
                <w:szCs w:val="28"/>
              </w:rPr>
              <w:t>(</w:t>
            </w:r>
            <w:r>
              <w:rPr>
                <w:rFonts w:ascii="华文中宋" w:hAnsi="华文中宋" w:eastAsia="华文中宋" w:cs="华文中宋"/>
                <w:spacing w:val="-14"/>
                <w:w w:val="95"/>
                <w:sz w:val="24"/>
                <w:szCs w:val="24"/>
              </w:rPr>
              <w:t>名称和版次)</w:t>
            </w:r>
          </w:p>
        </w:tc>
        <w:tc>
          <w:tcPr>
            <w:tcW w:w="2214" w:type="dxa"/>
            <w:gridSpan w:val="3"/>
            <w:vAlign w:val="center"/>
          </w:tcPr>
          <w:p w14:paraId="516525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泉州广播电视台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QZTV-1、</w:t>
            </w: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菲律宾菲中电视台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泰国Nation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TV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Channel 22</w:t>
            </w:r>
          </w:p>
          <w:p w14:paraId="2D5BF6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256705C4">
            <w:pPr>
              <w:spacing w:line="288" w:lineRule="auto"/>
              <w:jc w:val="center"/>
              <w:rPr>
                <w:rFonts w:ascii="Arial"/>
                <w:sz w:val="21"/>
              </w:rPr>
            </w:pPr>
          </w:p>
          <w:p w14:paraId="718329CE">
            <w:pPr>
              <w:spacing w:line="288" w:lineRule="auto"/>
              <w:jc w:val="center"/>
              <w:rPr>
                <w:rFonts w:ascii="Arial"/>
                <w:sz w:val="21"/>
              </w:rPr>
            </w:pPr>
          </w:p>
          <w:p w14:paraId="322BC7DB">
            <w:pPr>
              <w:spacing w:before="104" w:line="182" w:lineRule="auto"/>
              <w:ind w:left="298" w:right="250" w:hanging="52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刊播</w:t>
            </w:r>
            <w:r>
              <w:rPr>
                <w:rFonts w:ascii="华文中宋" w:hAnsi="华文中宋" w:eastAsia="华文中宋" w:cs="华文中宋"/>
                <w:spacing w:val="-30"/>
                <w:sz w:val="28"/>
                <w:szCs w:val="28"/>
              </w:rPr>
              <w:t>日期</w:t>
            </w:r>
          </w:p>
        </w:tc>
        <w:tc>
          <w:tcPr>
            <w:tcW w:w="2762" w:type="dxa"/>
            <w:gridSpan w:val="6"/>
            <w:vAlign w:val="center"/>
          </w:tcPr>
          <w:p w14:paraId="5F23CBA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泉州广播电视台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QZTV-1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E726D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2025年9月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20时35分</w:t>
            </w:r>
          </w:p>
          <w:p w14:paraId="30F756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泰国Nation TV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Channel 22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：2025年9月23日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12时23分</w:t>
            </w:r>
          </w:p>
          <w:p w14:paraId="644044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菲律宾菲中电视台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7EDE50E">
            <w:pPr>
              <w:pStyle w:val="6"/>
              <w:spacing w:before="16" w:line="219" w:lineRule="auto"/>
              <w:ind w:right="101"/>
              <w:jc w:val="both"/>
              <w:rPr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2025年9月24日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19时00分</w:t>
            </w:r>
          </w:p>
        </w:tc>
        <w:tc>
          <w:tcPr>
            <w:tcW w:w="869" w:type="dxa"/>
            <w:gridSpan w:val="2"/>
            <w:vAlign w:val="center"/>
          </w:tcPr>
          <w:p w14:paraId="247D866D">
            <w:pPr>
              <w:spacing w:line="286" w:lineRule="auto"/>
              <w:jc w:val="center"/>
              <w:rPr>
                <w:rFonts w:ascii="Arial"/>
                <w:sz w:val="21"/>
              </w:rPr>
            </w:pPr>
          </w:p>
          <w:p w14:paraId="3A525A62">
            <w:pPr>
              <w:spacing w:line="287" w:lineRule="auto"/>
              <w:jc w:val="center"/>
              <w:rPr>
                <w:rFonts w:ascii="Arial"/>
                <w:sz w:val="21"/>
              </w:rPr>
            </w:pPr>
          </w:p>
          <w:p w14:paraId="6D0F3611">
            <w:pPr>
              <w:spacing w:before="103" w:line="183" w:lineRule="auto"/>
              <w:ind w:left="161" w:right="154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发布周期</w:t>
            </w:r>
          </w:p>
        </w:tc>
        <w:tc>
          <w:tcPr>
            <w:tcW w:w="1431" w:type="dxa"/>
            <w:vAlign w:val="center"/>
          </w:tcPr>
          <w:p w14:paraId="257333B6">
            <w:pPr>
              <w:spacing w:line="332" w:lineRule="auto"/>
              <w:jc w:val="center"/>
              <w:rPr>
                <w:rFonts w:ascii="Arial"/>
                <w:sz w:val="21"/>
              </w:rPr>
            </w:pPr>
          </w:p>
          <w:p w14:paraId="20BB7B5C">
            <w:pPr>
              <w:pStyle w:val="6"/>
              <w:spacing w:before="65" w:line="226" w:lineRule="auto"/>
              <w:ind w:left="117" w:right="109"/>
              <w:jc w:val="center"/>
              <w:rPr>
                <w:sz w:val="20"/>
                <w:szCs w:val="20"/>
              </w:rPr>
            </w:pPr>
          </w:p>
        </w:tc>
      </w:tr>
      <w:tr w14:paraId="57505F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1534" w:type="dxa"/>
            <w:gridSpan w:val="2"/>
            <w:vAlign w:val="center"/>
          </w:tcPr>
          <w:p w14:paraId="354416A2">
            <w:pPr>
              <w:spacing w:before="61" w:line="178" w:lineRule="auto"/>
              <w:ind w:left="212" w:right="202" w:firstLine="137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新媒体作品链接</w:t>
            </w:r>
          </w:p>
        </w:tc>
        <w:tc>
          <w:tcPr>
            <w:tcW w:w="4908" w:type="dxa"/>
            <w:gridSpan w:val="8"/>
            <w:vAlign w:val="center"/>
          </w:tcPr>
          <w:p w14:paraId="70F6E85C">
            <w:pPr>
              <w:pStyle w:val="6"/>
              <w:spacing w:before="113" w:line="238" w:lineRule="auto"/>
              <w:ind w:left="121" w:right="113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855" w:type="dxa"/>
            <w:gridSpan w:val="4"/>
            <w:vAlign w:val="center"/>
          </w:tcPr>
          <w:p w14:paraId="0186F678">
            <w:pPr>
              <w:spacing w:before="93" w:line="190" w:lineRule="auto"/>
              <w:ind w:left="570"/>
              <w:jc w:val="center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是否为</w:t>
            </w:r>
          </w:p>
          <w:p w14:paraId="068FCAF9">
            <w:pPr>
              <w:spacing w:before="30" w:line="183" w:lineRule="auto"/>
              <w:ind w:left="218"/>
              <w:jc w:val="center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16"/>
                <w:sz w:val="24"/>
                <w:szCs w:val="24"/>
              </w:rPr>
              <w:t>“三好作品”</w:t>
            </w:r>
          </w:p>
        </w:tc>
        <w:tc>
          <w:tcPr>
            <w:tcW w:w="1431" w:type="dxa"/>
            <w:vAlign w:val="center"/>
          </w:tcPr>
          <w:p w14:paraId="47A8E46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</w:tr>
      <w:tr w14:paraId="7A91C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  <w:jc w:val="center"/>
        </w:trPr>
        <w:tc>
          <w:tcPr>
            <w:tcW w:w="910" w:type="dxa"/>
            <w:textDirection w:val="tbRlV"/>
            <w:vAlign w:val="center"/>
          </w:tcPr>
          <w:p w14:paraId="24E0674C">
            <w:pPr>
              <w:spacing w:before="311" w:line="191" w:lineRule="auto"/>
              <w:ind w:left="268"/>
              <w:jc w:val="center"/>
              <w:rPr>
                <w:rFonts w:ascii="华文中宋" w:hAnsi="华文中宋" w:eastAsia="华文中宋" w:cs="华文中宋"/>
                <w:spacing w:val="20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20"/>
                <w:sz w:val="28"/>
                <w:szCs w:val="28"/>
              </w:rPr>
              <w:t>作品简介</w:t>
            </w:r>
          </w:p>
        </w:tc>
        <w:tc>
          <w:tcPr>
            <w:tcW w:w="8818" w:type="dxa"/>
            <w:gridSpan w:val="14"/>
            <w:vAlign w:val="top"/>
          </w:tcPr>
          <w:p w14:paraId="3C5386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2013年，习近平总书记开创性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地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提出共建“丝绸之路经济带”和“21世纪海上丝绸之路”倡议，十余年来，共建“一带一路”取得了重大成就。2025年3月，李强总理在泉州调研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时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提出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泉州要讲好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‘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东方第一大港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故事</w:t>
            </w:r>
            <w:r>
              <w:rPr>
                <w:rFonts w:hint="eastAsia" w:ascii="宋体" w:hAnsi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，这不仅是对这座城市从历史辉煌到当代开放新优势的关键连接，更清晰地折射出中国跨越千年的开放基因在新时代的延续与升华。</w:t>
            </w:r>
          </w:p>
          <w:p w14:paraId="0EDBE8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2025年正值郑和下西洋620周年，泉州广播电视台邀请新加坡、菲律宾、马来西亚、泰国等“一带一路”沿线四国12家主流媒体代表来泉参与“2025丝路双城记暨媒体世遗泉州行”采访交流活动，其中4位媒体代表与泉州本地学者畅谈在泉见闻，对话历史与未来。</w:t>
            </w:r>
          </w:p>
          <w:p w14:paraId="7F5DB242">
            <w:pPr>
              <w:pStyle w:val="6"/>
              <w:spacing w:line="220" w:lineRule="auto"/>
              <w:ind w:firstLine="480"/>
              <w:jc w:val="both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该访谈节目以“东方第一大港”为叙事原点，串联古代海丝盛景与当代“数字</w:t>
            </w:r>
          </w:p>
          <w:p w14:paraId="7B377C28">
            <w:pPr>
              <w:pStyle w:val="6"/>
              <w:spacing w:line="220" w:lineRule="auto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海丝”及多元合作实践；将主访谈场景置于泉州海外交通史博物馆，营造“置身历史现场”的沉浸感，运用郑和船模、德化白瓷、马来西亚榴莲等兼具历史符号与在地特色的实物作为“对话道具”，增强访谈真实性、趣味性与感染力；在中文、英语与闽南语三语交流中，探讨从郑和远航到跨境电商的延续，更延伸至人文交流、经贸往来等社会多领域合作，展现中国千年来始终秉持的和平合作、开放包容、互学互鉴、互利共赢的丝路精神。</w:t>
            </w:r>
          </w:p>
        </w:tc>
      </w:tr>
      <w:tr w14:paraId="220E49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910" w:type="dxa"/>
            <w:vMerge w:val="restart"/>
            <w:tcBorders>
              <w:bottom w:val="nil"/>
            </w:tcBorders>
            <w:textDirection w:val="tbRlV"/>
            <w:vAlign w:val="top"/>
          </w:tcPr>
          <w:p w14:paraId="0F70D401">
            <w:pPr>
              <w:spacing w:before="311" w:line="191" w:lineRule="auto"/>
              <w:ind w:left="210" w:leftChars="100"/>
              <w:rPr>
                <w:rFonts w:hint="eastAsia" w:ascii="华文中宋" w:hAnsi="华文中宋" w:eastAsia="华文中宋" w:cs="华文中宋"/>
                <w:spacing w:val="2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pacing w:val="20"/>
                <w:sz w:val="28"/>
                <w:szCs w:val="28"/>
                <w:lang w:val="en-US" w:eastAsia="zh-CN"/>
              </w:rPr>
              <w:t>传播数据</w:t>
            </w:r>
          </w:p>
        </w:tc>
        <w:tc>
          <w:tcPr>
            <w:tcW w:w="1984" w:type="dxa"/>
            <w:gridSpan w:val="2"/>
            <w:vAlign w:val="center"/>
          </w:tcPr>
          <w:p w14:paraId="13768CC5">
            <w:pPr>
              <w:spacing w:before="66" w:line="233" w:lineRule="auto"/>
              <w:ind w:left="116" w:right="310" w:hanging="5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1"/>
                <w:sz w:val="24"/>
                <w:szCs w:val="24"/>
              </w:rPr>
              <w:t>境外传播量最高</w:t>
            </w:r>
            <w:r>
              <w:rPr>
                <w:rFonts w:ascii="楷体" w:hAnsi="楷体" w:eastAsia="楷体" w:cs="楷体"/>
                <w:b/>
                <w:bCs/>
                <w:spacing w:val="-4"/>
                <w:sz w:val="24"/>
                <w:szCs w:val="24"/>
              </w:rPr>
              <w:t>平台发布网址</w:t>
            </w:r>
          </w:p>
        </w:tc>
        <w:tc>
          <w:tcPr>
            <w:tcW w:w="6834" w:type="dxa"/>
            <w:gridSpan w:val="12"/>
            <w:vAlign w:val="center"/>
          </w:tcPr>
          <w:p w14:paraId="0CA8FE3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该作品在境外为电视</w:t>
            </w:r>
            <w:bookmarkStart w:id="0" w:name="_GoBack"/>
            <w:bookmarkEnd w:id="0"/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媒体端播出</w:t>
            </w:r>
          </w:p>
        </w:tc>
      </w:tr>
      <w:tr w14:paraId="77BDB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  <w:jc w:val="center"/>
        </w:trPr>
        <w:tc>
          <w:tcPr>
            <w:tcW w:w="910" w:type="dxa"/>
            <w:vMerge w:val="continue"/>
            <w:tcBorders>
              <w:top w:val="nil"/>
            </w:tcBorders>
            <w:textDirection w:val="tbRlV"/>
            <w:vAlign w:val="top"/>
          </w:tcPr>
          <w:p w14:paraId="3379C7E3">
            <w:pPr>
              <w:rPr>
                <w:rFonts w:ascii="Arial"/>
                <w:spacing w:val="20"/>
                <w:sz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B1127BD">
            <w:pPr>
              <w:spacing w:before="231" w:line="232" w:lineRule="auto"/>
              <w:ind w:left="112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该平台传播量</w:t>
            </w:r>
          </w:p>
        </w:tc>
        <w:tc>
          <w:tcPr>
            <w:tcW w:w="854" w:type="dxa"/>
            <w:gridSpan w:val="2"/>
            <w:vAlign w:val="center"/>
          </w:tcPr>
          <w:p w14:paraId="5303A58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91" w:type="dxa"/>
            <w:gridSpan w:val="4"/>
            <w:vAlign w:val="center"/>
          </w:tcPr>
          <w:p w14:paraId="4CAA780A">
            <w:pPr>
              <w:spacing w:before="231" w:line="232" w:lineRule="auto"/>
              <w:ind w:left="120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该平台互动量</w:t>
            </w:r>
          </w:p>
        </w:tc>
        <w:tc>
          <w:tcPr>
            <w:tcW w:w="1899" w:type="dxa"/>
            <w:gridSpan w:val="2"/>
            <w:vAlign w:val="center"/>
          </w:tcPr>
          <w:p w14:paraId="5B189667">
            <w:pPr>
              <w:pStyle w:val="6"/>
              <w:spacing w:before="110" w:line="227" w:lineRule="auto"/>
              <w:ind w:left="137" w:right="97" w:firstLine="2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7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159" w:type="dxa"/>
            <w:gridSpan w:val="3"/>
            <w:vAlign w:val="center"/>
          </w:tcPr>
          <w:p w14:paraId="492D42AC">
            <w:pPr>
              <w:spacing w:before="110" w:line="232" w:lineRule="auto"/>
              <w:ind w:left="119" w:right="29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29"/>
                <w:sz w:val="20"/>
                <w:szCs w:val="20"/>
              </w:rPr>
              <w:t>境外总传</w:t>
            </w:r>
            <w:r>
              <w:rPr>
                <w:rFonts w:ascii="楷体" w:hAnsi="楷体" w:eastAsia="楷体" w:cs="楷体"/>
                <w:b/>
                <w:bCs/>
                <w:spacing w:val="-1"/>
                <w:sz w:val="20"/>
                <w:szCs w:val="20"/>
              </w:rPr>
              <w:t>播量（万）</w:t>
            </w:r>
          </w:p>
        </w:tc>
        <w:tc>
          <w:tcPr>
            <w:tcW w:w="1431" w:type="dxa"/>
            <w:vAlign w:val="center"/>
          </w:tcPr>
          <w:p w14:paraId="150AB1A1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500万+</w:t>
            </w:r>
          </w:p>
        </w:tc>
      </w:tr>
      <w:tr w14:paraId="3FB66C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910" w:type="dxa"/>
            <w:textDirection w:val="tbRlV"/>
            <w:vAlign w:val="center"/>
          </w:tcPr>
          <w:p w14:paraId="7E358107">
            <w:pPr>
              <w:spacing w:before="171" w:line="175" w:lineRule="auto"/>
              <w:ind w:right="277"/>
              <w:jc w:val="center"/>
              <w:rPr>
                <w:rFonts w:hint="eastAsia" w:ascii="华文中宋" w:hAnsi="华文中宋" w:eastAsia="华文中宋" w:cs="华文中宋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pacing w:val="20"/>
                <w:sz w:val="28"/>
                <w:szCs w:val="28"/>
                <w:lang w:val="en-US" w:eastAsia="zh-CN"/>
              </w:rPr>
              <w:t>（推荐理由）</w:t>
            </w:r>
          </w:p>
          <w:p w14:paraId="52E5D5AF">
            <w:pPr>
              <w:spacing w:before="171" w:line="175" w:lineRule="auto"/>
              <w:ind w:right="277"/>
              <w:jc w:val="center"/>
              <w:rPr>
                <w:rFonts w:hint="default" w:ascii="华文中宋" w:hAnsi="华文中宋" w:eastAsia="华文中宋" w:cs="华文中宋"/>
                <w:spacing w:val="2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pacing w:val="20"/>
                <w:sz w:val="28"/>
                <w:szCs w:val="28"/>
                <w:lang w:val="en-US" w:eastAsia="zh-CN"/>
              </w:rPr>
              <w:t>初评评语</w:t>
            </w:r>
          </w:p>
        </w:tc>
        <w:tc>
          <w:tcPr>
            <w:tcW w:w="8818" w:type="dxa"/>
            <w:gridSpan w:val="14"/>
            <w:vAlign w:val="center"/>
          </w:tcPr>
          <w:p w14:paraId="158423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2" w:firstLineChars="200"/>
              <w:jc w:val="left"/>
              <w:textAlignment w:val="baseline"/>
              <w:rPr>
                <w:rFonts w:hint="default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主题策源：历史记忆凝聚国际共识</w:t>
            </w:r>
          </w:p>
          <w:p w14:paraId="2D9328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0" w:firstLineChars="20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节目以“郑和下西洋”为叙事脉络，深挖泉州作为“东方第一大港”对东南亚地区的历史影响。通过“海丝”纽带，将分散的历史记忆重新凝聚，展现泉州与东南亚国家从古至今的紧密联系，凸显“乡愁为纽带、文化为底色、贸易为动力”的深度融合。此叙事策略赋予议题历史纵深与情感共鸣，实现对外传播高度与亲和力的统一。</w:t>
            </w:r>
          </w:p>
          <w:p w14:paraId="683012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2" w:firstLineChars="200"/>
              <w:jc w:val="left"/>
              <w:textAlignment w:val="baseline"/>
              <w:rPr>
                <w:rFonts w:hint="default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视角转换：“外媒他者”提升信服力</w:t>
            </w:r>
          </w:p>
          <w:p w14:paraId="1458AE6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0" w:firstLineChars="20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节目创新采用“外媒看泉州”与“本土解读”双重视角。外国媒体人作为体验者，用镜头语言讲述泉州跨境电商发展，展示宋元遗迹保护与郑和精神在当代经贸的延续。这种基于真实体验的“他者”讲述，以国际化视听语言验证中国外贸新活力，真正做到“用世界语言讲好中国故事”。</w:t>
            </w:r>
          </w:p>
          <w:p w14:paraId="6DA02F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2" w:firstLineChars="200"/>
              <w:jc w:val="left"/>
              <w:textAlignment w:val="baseline"/>
              <w:rPr>
                <w:rFonts w:hint="default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结构架构：三段式勾勒海丝谱系</w:t>
            </w:r>
          </w:p>
          <w:p w14:paraId="7C5117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0" w:firstLineChars="20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节目采用“历史—现实—未来”三段式框架，形成逻辑闭环。历史维度回溯郑和壮举，现实维度聚焦现代合作，未来维度展望合作前景。通过今昔对比，深刻揭示丝路精神的代际传承与时代新生。</w:t>
            </w:r>
          </w:p>
          <w:p w14:paraId="5AF2BE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480" w:firstLineChars="20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节目彰显泉州文化底蕴与当代活力，更折射中国坚持对外开放、推进周边命运共同体建设的宏大叙事。在复杂国际形势下，为各国增强互信、推进合作提供启示，生动诠释“和平与发展”时代主题，是国际传播的佳作。</w:t>
            </w:r>
          </w:p>
          <w:p w14:paraId="04F1E8BC">
            <w:pPr>
              <w:spacing w:before="103" w:line="434" w:lineRule="exact"/>
              <w:ind w:left="3783"/>
              <w:jc w:val="left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2"/>
                <w:position w:val="5"/>
                <w:sz w:val="28"/>
                <w:szCs w:val="28"/>
              </w:rPr>
              <w:t>签名</w:t>
            </w:r>
            <w:r>
              <w:rPr>
                <w:rFonts w:ascii="华文中宋" w:hAnsi="华文中宋" w:eastAsia="华文中宋" w:cs="华文中宋"/>
                <w:spacing w:val="-76"/>
                <w:w w:val="95"/>
                <w:position w:val="5"/>
                <w:sz w:val="28"/>
                <w:szCs w:val="28"/>
              </w:rPr>
              <w:t>：（</w:t>
            </w:r>
            <w:r>
              <w:rPr>
                <w:rFonts w:hint="eastAsia" w:ascii="华文中宋" w:hAnsi="华文中宋" w:eastAsia="华文中宋" w:cs="华文中宋"/>
                <w:spacing w:val="-76"/>
                <w:w w:val="95"/>
                <w:position w:val="5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ascii="华文中宋" w:hAnsi="华文中宋" w:eastAsia="华文中宋" w:cs="华文中宋"/>
                <w:spacing w:val="2"/>
                <w:position w:val="5"/>
                <w:sz w:val="28"/>
                <w:szCs w:val="28"/>
              </w:rPr>
              <w:t>盖单位公章）</w:t>
            </w:r>
          </w:p>
          <w:p w14:paraId="0C1C6ACA">
            <w:pPr>
              <w:spacing w:before="46" w:line="433" w:lineRule="exact"/>
              <w:ind w:left="4738"/>
              <w:jc w:val="left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6"/>
                <w:position w:val="5"/>
                <w:sz w:val="28"/>
                <w:szCs w:val="28"/>
              </w:rPr>
              <w:t>2026 年</w:t>
            </w:r>
            <w:r>
              <w:rPr>
                <w:rFonts w:ascii="华文中宋" w:hAnsi="华文中宋" w:eastAsia="华文中宋" w:cs="华文中宋"/>
                <w:spacing w:val="7"/>
                <w:position w:val="5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 w:cs="华文中宋"/>
                <w:spacing w:val="-6"/>
                <w:position w:val="5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 w:cs="华文中宋"/>
                <w:spacing w:val="25"/>
                <w:position w:val="5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 w:cs="华文中宋"/>
                <w:spacing w:val="-6"/>
                <w:position w:val="5"/>
                <w:sz w:val="28"/>
                <w:szCs w:val="28"/>
              </w:rPr>
              <w:t>日</w:t>
            </w:r>
          </w:p>
        </w:tc>
      </w:tr>
      <w:tr w14:paraId="533FC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534" w:type="dxa"/>
            <w:gridSpan w:val="2"/>
            <w:vAlign w:val="center"/>
          </w:tcPr>
          <w:p w14:paraId="1C32FE4B">
            <w:pPr>
              <w:spacing w:before="178" w:line="190" w:lineRule="auto"/>
              <w:ind w:left="352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联系人</w:t>
            </w:r>
          </w:p>
        </w:tc>
        <w:tc>
          <w:tcPr>
            <w:tcW w:w="1709" w:type="dxa"/>
            <w:gridSpan w:val="2"/>
            <w:vAlign w:val="center"/>
          </w:tcPr>
          <w:p w14:paraId="13D6BE19">
            <w:pPr>
              <w:pStyle w:val="6"/>
              <w:spacing w:before="76" w:line="253" w:lineRule="auto"/>
              <w:ind w:left="263" w:right="155" w:hanging="63"/>
              <w:jc w:val="center"/>
              <w:rPr>
                <w:rFonts w:hint="eastAsia" w:eastAsia="仿宋"/>
                <w:sz w:val="19"/>
                <w:szCs w:val="19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任芃</w:t>
            </w:r>
          </w:p>
        </w:tc>
        <w:tc>
          <w:tcPr>
            <w:tcW w:w="1620" w:type="dxa"/>
            <w:gridSpan w:val="3"/>
            <w:vAlign w:val="center"/>
          </w:tcPr>
          <w:p w14:paraId="599FC7DD">
            <w:pPr>
              <w:spacing w:before="178" w:line="190" w:lineRule="auto"/>
              <w:ind w:left="560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3"/>
                <w:w w:val="98"/>
                <w:sz w:val="28"/>
                <w:szCs w:val="28"/>
              </w:rPr>
              <w:t>邮箱</w:t>
            </w:r>
          </w:p>
        </w:tc>
        <w:tc>
          <w:tcPr>
            <w:tcW w:w="1579" w:type="dxa"/>
            <w:gridSpan w:val="3"/>
            <w:vAlign w:val="center"/>
          </w:tcPr>
          <w:p w14:paraId="496581D8">
            <w:pPr>
              <w:jc w:val="center"/>
              <w:rPr>
                <w:rFonts w:ascii="Arial"/>
                <w:sz w:val="21"/>
              </w:rPr>
            </w:pPr>
          </w:p>
          <w:p w14:paraId="73A9775A">
            <w:pPr>
              <w:bidi w:val="0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357537983@qq.com</w:t>
            </w:r>
          </w:p>
        </w:tc>
        <w:tc>
          <w:tcPr>
            <w:tcW w:w="1621" w:type="dxa"/>
            <w:gridSpan w:val="3"/>
            <w:vAlign w:val="center"/>
          </w:tcPr>
          <w:p w14:paraId="728613BD">
            <w:pPr>
              <w:spacing w:before="179" w:line="189" w:lineRule="auto"/>
              <w:ind w:left="578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1665" w:type="dxa"/>
            <w:gridSpan w:val="2"/>
            <w:vAlign w:val="center"/>
          </w:tcPr>
          <w:p w14:paraId="1FEEE50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18659805077</w:t>
            </w:r>
          </w:p>
        </w:tc>
      </w:tr>
    </w:tbl>
    <w:p w14:paraId="412FE288">
      <w:pPr>
        <w:spacing w:line="223" w:lineRule="auto"/>
        <w:rPr>
          <w:rFonts w:ascii="楷体" w:hAnsi="楷体" w:eastAsia="楷体" w:cs="楷体"/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2308" w:right="1092" w:bottom="1389" w:left="1091" w:header="1817" w:footer="1022" w:gutter="0"/>
          <w:cols w:space="720" w:num="1"/>
        </w:sectPr>
      </w:pPr>
    </w:p>
    <w:p w14:paraId="46054ED5">
      <w:pPr>
        <w:pStyle w:val="2"/>
        <w:spacing w:before="66" w:line="228" w:lineRule="auto"/>
      </w:pPr>
    </w:p>
    <w:sectPr>
      <w:headerReference r:id="rId7" w:type="default"/>
      <w:footerReference r:id="rId8" w:type="default"/>
      <w:pgSz w:w="11906" w:h="16839"/>
      <w:pgMar w:top="400" w:right="1594" w:bottom="1389" w:left="1749" w:header="0" w:footer="10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A3BFA">
    <w:pPr>
      <w:pStyle w:val="2"/>
      <w:spacing w:line="235" w:lineRule="auto"/>
      <w:ind w:left="4520"/>
      <w:rPr>
        <w:rFonts w:hint="eastAsia" w:eastAsia="仿宋"/>
        <w:sz w:val="28"/>
        <w:szCs w:val="28"/>
        <w:lang w:val="en-US" w:eastAsia="zh-CN"/>
      </w:rPr>
    </w:pPr>
    <w:r>
      <w:rPr>
        <w:rFonts w:hint="eastAsia"/>
        <w:spacing w:val="-6"/>
        <w:sz w:val="28"/>
        <w:szCs w:val="28"/>
        <w:lang w:val="en-US" w:eastAsia="zh-C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89BCC">
    <w:pPr>
      <w:pStyle w:val="2"/>
      <w:spacing w:line="236" w:lineRule="auto"/>
      <w:ind w:left="3790"/>
      <w:rPr>
        <w:sz w:val="28"/>
        <w:szCs w:val="28"/>
      </w:rPr>
    </w:pPr>
    <w:r>
      <w:rPr>
        <w:spacing w:val="-9"/>
        <w:sz w:val="28"/>
        <w:szCs w:val="28"/>
      </w:rPr>
      <w:t>-</w:t>
    </w:r>
    <w:r>
      <w:rPr>
        <w:spacing w:val="30"/>
        <w:sz w:val="28"/>
        <w:szCs w:val="28"/>
      </w:rPr>
      <w:t xml:space="preserve"> </w:t>
    </w:r>
    <w:r>
      <w:rPr>
        <w:spacing w:val="-9"/>
        <w:sz w:val="28"/>
        <w:szCs w:val="28"/>
      </w:rPr>
      <w:t>14</w:t>
    </w:r>
    <w:r>
      <w:rPr>
        <w:spacing w:val="5"/>
        <w:sz w:val="28"/>
        <w:szCs w:val="28"/>
      </w:rPr>
      <w:t xml:space="preserve"> </w:t>
    </w:r>
    <w:r>
      <w:rPr>
        <w:spacing w:val="-9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26903">
    <w:pPr>
      <w:spacing w:before="83" w:line="230" w:lineRule="auto"/>
      <w:ind w:left="143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4"/>
        <w:sz w:val="31"/>
        <w:szCs w:val="31"/>
      </w:rPr>
      <w:t>附件</w:t>
    </w:r>
    <w:r>
      <w:rPr>
        <w:rFonts w:hint="eastAsia" w:ascii="黑体" w:hAnsi="黑体" w:eastAsia="黑体" w:cs="黑体"/>
        <w:spacing w:val="24"/>
        <w:sz w:val="31"/>
        <w:szCs w:val="31"/>
        <w:lang w:val="en-US" w:eastAsia="zh-CN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AD94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224605"/>
    <w:rsid w:val="010C0502"/>
    <w:rsid w:val="0118690F"/>
    <w:rsid w:val="016A1E84"/>
    <w:rsid w:val="028916DF"/>
    <w:rsid w:val="04E90B5B"/>
    <w:rsid w:val="05A01219"/>
    <w:rsid w:val="07287718"/>
    <w:rsid w:val="0870264D"/>
    <w:rsid w:val="099948FD"/>
    <w:rsid w:val="0A79028B"/>
    <w:rsid w:val="0ABB08A3"/>
    <w:rsid w:val="0AEB5F77"/>
    <w:rsid w:val="0BF00A21"/>
    <w:rsid w:val="0C040028"/>
    <w:rsid w:val="0DE0138C"/>
    <w:rsid w:val="0E4A7811"/>
    <w:rsid w:val="0EC341CA"/>
    <w:rsid w:val="10536086"/>
    <w:rsid w:val="114C73CD"/>
    <w:rsid w:val="12D9220E"/>
    <w:rsid w:val="1406762E"/>
    <w:rsid w:val="142C636E"/>
    <w:rsid w:val="14667AD2"/>
    <w:rsid w:val="14C84F32"/>
    <w:rsid w:val="1573643D"/>
    <w:rsid w:val="160457F4"/>
    <w:rsid w:val="16A91EF8"/>
    <w:rsid w:val="191B532F"/>
    <w:rsid w:val="195E346D"/>
    <w:rsid w:val="19962C07"/>
    <w:rsid w:val="1A732F49"/>
    <w:rsid w:val="1BD21EF1"/>
    <w:rsid w:val="1CD001DE"/>
    <w:rsid w:val="1CD66BB0"/>
    <w:rsid w:val="1D0600A4"/>
    <w:rsid w:val="1D457387"/>
    <w:rsid w:val="1D8334A3"/>
    <w:rsid w:val="200739B9"/>
    <w:rsid w:val="20395C00"/>
    <w:rsid w:val="21E87D78"/>
    <w:rsid w:val="21F20BF7"/>
    <w:rsid w:val="224F3172"/>
    <w:rsid w:val="23110EEC"/>
    <w:rsid w:val="24305A06"/>
    <w:rsid w:val="253F23A5"/>
    <w:rsid w:val="261C26E6"/>
    <w:rsid w:val="26EA4592"/>
    <w:rsid w:val="271909D4"/>
    <w:rsid w:val="27231852"/>
    <w:rsid w:val="28700AC7"/>
    <w:rsid w:val="293921FB"/>
    <w:rsid w:val="2A7725E1"/>
    <w:rsid w:val="2B067E60"/>
    <w:rsid w:val="2B860F0B"/>
    <w:rsid w:val="2C9F2287"/>
    <w:rsid w:val="2E756E38"/>
    <w:rsid w:val="2E8B21B7"/>
    <w:rsid w:val="2EE87609"/>
    <w:rsid w:val="2F4049AA"/>
    <w:rsid w:val="2F7B222C"/>
    <w:rsid w:val="2FB41BE1"/>
    <w:rsid w:val="2FE66E56"/>
    <w:rsid w:val="3040652C"/>
    <w:rsid w:val="308B2942"/>
    <w:rsid w:val="31271F3F"/>
    <w:rsid w:val="36AC3612"/>
    <w:rsid w:val="36B5581D"/>
    <w:rsid w:val="36C554CC"/>
    <w:rsid w:val="36E73971"/>
    <w:rsid w:val="38993C8D"/>
    <w:rsid w:val="394418E0"/>
    <w:rsid w:val="3C277297"/>
    <w:rsid w:val="3EDF3E59"/>
    <w:rsid w:val="3F5A3C37"/>
    <w:rsid w:val="3F9D7F9C"/>
    <w:rsid w:val="40DA6FCE"/>
    <w:rsid w:val="416B7E54"/>
    <w:rsid w:val="41850CE8"/>
    <w:rsid w:val="43CE2E1A"/>
    <w:rsid w:val="44AB6CB7"/>
    <w:rsid w:val="44C0437B"/>
    <w:rsid w:val="456B28EB"/>
    <w:rsid w:val="4574354D"/>
    <w:rsid w:val="45B210CD"/>
    <w:rsid w:val="46F506BE"/>
    <w:rsid w:val="474D22A8"/>
    <w:rsid w:val="4A315EB1"/>
    <w:rsid w:val="4A4D25BF"/>
    <w:rsid w:val="4A834233"/>
    <w:rsid w:val="4AC960E9"/>
    <w:rsid w:val="4B427942"/>
    <w:rsid w:val="4BC92119"/>
    <w:rsid w:val="4BCF3BD3"/>
    <w:rsid w:val="4C660447"/>
    <w:rsid w:val="4D5A127B"/>
    <w:rsid w:val="4D8B5930"/>
    <w:rsid w:val="4E4B5067"/>
    <w:rsid w:val="4EF37BD9"/>
    <w:rsid w:val="4EF70D4B"/>
    <w:rsid w:val="4F94534C"/>
    <w:rsid w:val="517F39A6"/>
    <w:rsid w:val="52C17709"/>
    <w:rsid w:val="54232D0E"/>
    <w:rsid w:val="55465765"/>
    <w:rsid w:val="55E42029"/>
    <w:rsid w:val="5A385CD3"/>
    <w:rsid w:val="5B6D486F"/>
    <w:rsid w:val="5B8064F6"/>
    <w:rsid w:val="5C1B73EB"/>
    <w:rsid w:val="5DF70D68"/>
    <w:rsid w:val="5EBD3D5F"/>
    <w:rsid w:val="5F50072F"/>
    <w:rsid w:val="5FF53085"/>
    <w:rsid w:val="621974FF"/>
    <w:rsid w:val="626764BC"/>
    <w:rsid w:val="628506F0"/>
    <w:rsid w:val="633B34A5"/>
    <w:rsid w:val="63B35731"/>
    <w:rsid w:val="647924D6"/>
    <w:rsid w:val="65004425"/>
    <w:rsid w:val="655642D4"/>
    <w:rsid w:val="65D57BE6"/>
    <w:rsid w:val="65EC45F7"/>
    <w:rsid w:val="660D1128"/>
    <w:rsid w:val="661F7DA7"/>
    <w:rsid w:val="6639016F"/>
    <w:rsid w:val="665C2D5F"/>
    <w:rsid w:val="672E5483"/>
    <w:rsid w:val="67380427"/>
    <w:rsid w:val="67582877"/>
    <w:rsid w:val="67695E4D"/>
    <w:rsid w:val="68925AA2"/>
    <w:rsid w:val="68A17F33"/>
    <w:rsid w:val="68F2795D"/>
    <w:rsid w:val="6A184540"/>
    <w:rsid w:val="6AF64881"/>
    <w:rsid w:val="6B080110"/>
    <w:rsid w:val="6B2D524E"/>
    <w:rsid w:val="6C3E67C4"/>
    <w:rsid w:val="6CFE17CB"/>
    <w:rsid w:val="6D25144D"/>
    <w:rsid w:val="6D36185D"/>
    <w:rsid w:val="6F765F90"/>
    <w:rsid w:val="70C745CA"/>
    <w:rsid w:val="70D34D1C"/>
    <w:rsid w:val="718A3708"/>
    <w:rsid w:val="725620A9"/>
    <w:rsid w:val="736305DA"/>
    <w:rsid w:val="73C923FE"/>
    <w:rsid w:val="73C92407"/>
    <w:rsid w:val="748A31AB"/>
    <w:rsid w:val="74A0585D"/>
    <w:rsid w:val="765863F0"/>
    <w:rsid w:val="77277B70"/>
    <w:rsid w:val="77E458C9"/>
    <w:rsid w:val="792F0F95"/>
    <w:rsid w:val="793B5B55"/>
    <w:rsid w:val="79825532"/>
    <w:rsid w:val="798E5ACD"/>
    <w:rsid w:val="7A4F18B8"/>
    <w:rsid w:val="7C2137C2"/>
    <w:rsid w:val="7C5331B5"/>
    <w:rsid w:val="7C8F0691"/>
    <w:rsid w:val="7D007E4B"/>
    <w:rsid w:val="7D871368"/>
    <w:rsid w:val="7E635932"/>
    <w:rsid w:val="7FAA57E2"/>
    <w:rsid w:val="7FBA12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1377</Words>
  <Characters>1503</Characters>
  <TotalTime>4</TotalTime>
  <ScaleCrop>false</ScaleCrop>
  <LinksUpToDate>false</LinksUpToDate>
  <CharactersWithSpaces>1543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2026-04-10T14:16:00Z</dcterms:created>
  <dc:creator>wangyongpo</dc:creator>
  <cp:lastModifiedBy>一米阳光</cp:lastModifiedBy>
  <dcterms:modified xsi:type="dcterms:W3CDTF">2026-04-21T01:45:51Z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2026-04-17T09:30:35Z</vt:filetime>
  </property>
  <property fmtid="{D5CDD505-2E9C-101B-9397-08002B2CF9AE}" pid="4" name="KSOTemplateDocerSaveRecord">
    <vt:lpwstr>eyJoZGlkIjoiMGQ2YTVmZmRiOTMyZWEwOTkzMTg1NGY4NjlhMzgwMGYiLCJ1c2VySWQiOiI0NDEwMTg5MTQifQ==</vt:lpwstr>
  </property>
  <property fmtid="{D5CDD505-2E9C-101B-9397-08002B2CF9AE}" pid="5" name="KSOProductBuildVer">
    <vt:lpwstr>2052-12.1.0.21541</vt:lpwstr>
  </property>
  <property fmtid="{D5CDD505-2E9C-101B-9397-08002B2CF9AE}" pid="6" name="ICV">
    <vt:lpwstr>15B04B1A9E774F47B7BA9504584CBFB3_13</vt:lpwstr>
  </property>
</Properties>
</file>